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2BFA7">
      <w:pPr>
        <w:jc w:val="center"/>
        <w:rPr>
          <w:b/>
          <w:sz w:val="36"/>
        </w:rPr>
      </w:pPr>
      <w:r>
        <w:rPr>
          <w:rFonts w:hint="eastAsia"/>
          <w:b/>
          <w:sz w:val="36"/>
        </w:rPr>
        <w:t>《</w:t>
      </w:r>
      <w:r>
        <w:rPr>
          <w:rFonts w:hint="eastAsia"/>
          <w:b/>
          <w:sz w:val="36"/>
          <w:lang w:val="en-US" w:eastAsia="zh-CN"/>
        </w:rPr>
        <w:t>聚变堆面向等离子体材料的电子束高热负荷测试方法</w:t>
      </w:r>
      <w:r>
        <w:rPr>
          <w:rFonts w:hint="eastAsia"/>
          <w:b/>
          <w:sz w:val="36"/>
        </w:rPr>
        <w:t>》编制说明</w:t>
      </w:r>
    </w:p>
    <w:p w14:paraId="53D1FF8D">
      <w:pPr>
        <w:jc w:val="center"/>
        <w:rPr>
          <w:b/>
          <w:sz w:val="36"/>
        </w:rPr>
      </w:pPr>
      <w:r>
        <w:rPr>
          <w:rFonts w:hint="eastAsia"/>
          <w:b/>
          <w:sz w:val="36"/>
        </w:rPr>
        <w:t>（征求意见稿）</w:t>
      </w:r>
    </w:p>
    <w:p w14:paraId="1A919FDF">
      <w:pPr>
        <w:outlineLvl w:val="0"/>
        <w:rPr>
          <w:b/>
          <w:sz w:val="28"/>
          <w:szCs w:val="28"/>
        </w:rPr>
      </w:pPr>
      <w:r>
        <w:rPr>
          <w:rFonts w:hint="eastAsia"/>
          <w:b/>
          <w:sz w:val="28"/>
          <w:szCs w:val="28"/>
        </w:rPr>
        <w:t>一、工作简况</w:t>
      </w:r>
    </w:p>
    <w:p w14:paraId="77EFEE6D">
      <w:pPr>
        <w:rPr>
          <w:b/>
        </w:rPr>
      </w:pPr>
      <w:r>
        <w:rPr>
          <w:rFonts w:hint="eastAsia"/>
          <w:b/>
        </w:rPr>
        <w:t>1、任务来源</w:t>
      </w:r>
    </w:p>
    <w:p w14:paraId="28837C3C">
      <w:pPr>
        <w:ind w:firstLine="480" w:firstLineChars="200"/>
        <w:rPr>
          <w:rFonts w:hint="default" w:eastAsia="宋体"/>
          <w:lang w:val="en-US" w:eastAsia="zh-CN"/>
        </w:rPr>
      </w:pPr>
      <w:r>
        <w:rPr>
          <w:rFonts w:hint="eastAsia"/>
          <w:lang w:val="en-US" w:eastAsia="zh-CN"/>
        </w:rPr>
        <w:t>本标准由核工业西南物理研究院、厦门钨业股份有限公司和北京安泰中科金属材料有限公司三家单位共同起草，起草时间为2025年5月。三家单位已与</w:t>
      </w:r>
      <w:r>
        <w:rPr>
          <w:rFonts w:hint="eastAsia"/>
        </w:rPr>
        <w:t>中国核能行业协会</w:t>
      </w:r>
      <w:r>
        <w:rPr>
          <w:rFonts w:hint="eastAsia"/>
          <w:lang w:val="en-US" w:eastAsia="zh-CN"/>
        </w:rPr>
        <w:t>达成合作意向，尚未签订合同。</w:t>
      </w:r>
    </w:p>
    <w:p w14:paraId="54110332">
      <w:pPr>
        <w:rPr>
          <w:rFonts w:hint="eastAsia"/>
        </w:rPr>
      </w:pPr>
    </w:p>
    <w:p w14:paraId="6190752E">
      <w:pPr>
        <w:rPr>
          <w:b/>
        </w:rPr>
      </w:pPr>
      <w:r>
        <w:rPr>
          <w:rFonts w:hint="eastAsia"/>
          <w:b/>
        </w:rPr>
        <w:t>2、主要工作过程</w:t>
      </w:r>
    </w:p>
    <w:p w14:paraId="44FFC297">
      <w:pPr>
        <w:spacing w:line="360" w:lineRule="auto"/>
        <w:ind w:firstLine="480" w:firstLineChars="200"/>
        <w:rPr>
          <w:rFonts w:hint="eastAsia" w:ascii="Times New Roman" w:hAnsi="Times New Roman" w:eastAsia="宋体" w:cs="Times New Roman"/>
          <w:sz w:val="24"/>
          <w:szCs w:val="24"/>
          <w:lang w:eastAsia="zh-CN"/>
        </w:rPr>
      </w:pPr>
      <w:r>
        <w:rPr>
          <w:rFonts w:hint="default" w:ascii="Times New Roman" w:hAnsi="Times New Roman" w:eastAsia="宋体" w:cs="Times New Roman"/>
          <w:sz w:val="24"/>
          <w:szCs w:val="24"/>
        </w:rPr>
        <w:t>本标准牵头</w:t>
      </w:r>
      <w:r>
        <w:rPr>
          <w:rFonts w:hint="eastAsia" w:ascii="Times New Roman" w:hAnsi="Times New Roman" w:eastAsia="宋体" w:cs="Times New Roman"/>
          <w:sz w:val="24"/>
          <w:szCs w:val="24"/>
          <w:lang w:val="en-US" w:eastAsia="zh-CN"/>
        </w:rPr>
        <w:t>编制</w:t>
      </w:r>
      <w:r>
        <w:rPr>
          <w:rFonts w:hint="default" w:ascii="Times New Roman" w:hAnsi="Times New Roman" w:eastAsia="宋体" w:cs="Times New Roman"/>
          <w:sz w:val="24"/>
          <w:szCs w:val="24"/>
        </w:rPr>
        <w:t>单位为</w:t>
      </w:r>
      <w:r>
        <w:rPr>
          <w:rFonts w:hint="eastAsia" w:ascii="Times New Roman" w:hAnsi="Times New Roman" w:eastAsia="宋体" w:cs="Times New Roman"/>
          <w:sz w:val="24"/>
          <w:szCs w:val="24"/>
          <w:lang w:val="en-US" w:eastAsia="zh-CN"/>
        </w:rPr>
        <w:t>核工业西南物理</w:t>
      </w:r>
      <w:r>
        <w:rPr>
          <w:rFonts w:hint="default" w:ascii="Times New Roman" w:hAnsi="Times New Roman" w:eastAsia="宋体" w:cs="Times New Roman"/>
          <w:sz w:val="24"/>
          <w:szCs w:val="24"/>
        </w:rPr>
        <w:t>研究院，联合厦门钨业股份有限公司</w:t>
      </w:r>
      <w:r>
        <w:rPr>
          <w:rFonts w:hint="eastAsia" w:ascii="Times New Roman" w:hAnsi="Times New Roman" w:eastAsia="宋体" w:cs="Times New Roman"/>
          <w:sz w:val="24"/>
          <w:szCs w:val="24"/>
          <w:lang w:eastAsia="zh-CN"/>
        </w:rPr>
        <w:t>、</w:t>
      </w:r>
    </w:p>
    <w:p w14:paraId="5294DC6C">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北京安泰中科金属材料有限公司等</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家单位共同编制</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标准制定工作自202</w:t>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年</w:t>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月启动。</w:t>
      </w:r>
      <w:r>
        <w:rPr>
          <w:rFonts w:hint="eastAsia" w:ascii="Times New Roman" w:hAnsi="Times New Roman" w:eastAsia="宋体" w:cs="Times New Roman"/>
          <w:sz w:val="24"/>
          <w:szCs w:val="24"/>
          <w:lang w:val="en-US" w:eastAsia="zh-CN"/>
        </w:rPr>
        <w:t>在标准起草</w:t>
      </w:r>
      <w:r>
        <w:rPr>
          <w:rFonts w:hint="default" w:ascii="Times New Roman" w:hAnsi="Times New Roman" w:eastAsia="宋体" w:cs="Times New Roman"/>
          <w:sz w:val="24"/>
          <w:szCs w:val="24"/>
        </w:rPr>
        <w:t>阶段</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编制人员广泛</w:t>
      </w:r>
      <w:r>
        <w:rPr>
          <w:rFonts w:hint="default" w:ascii="Times New Roman" w:hAnsi="Times New Roman" w:eastAsia="宋体" w:cs="Times New Roman"/>
          <w:sz w:val="24"/>
          <w:szCs w:val="24"/>
        </w:rPr>
        <w:t>调研国内外现行标准、ITER技术文件及</w:t>
      </w:r>
      <w:r>
        <w:rPr>
          <w:rFonts w:hint="eastAsia" w:ascii="Times New Roman" w:hAnsi="Times New Roman" w:eastAsia="宋体" w:cs="Times New Roman"/>
          <w:sz w:val="24"/>
          <w:szCs w:val="24"/>
          <w:lang w:val="en-US" w:eastAsia="zh-CN"/>
        </w:rPr>
        <w:t>高热负荷测试相关</w:t>
      </w:r>
      <w:r>
        <w:rPr>
          <w:rFonts w:hint="default" w:ascii="Times New Roman" w:hAnsi="Times New Roman" w:eastAsia="宋体" w:cs="Times New Roman"/>
          <w:sz w:val="24"/>
          <w:szCs w:val="24"/>
        </w:rPr>
        <w:t>文献</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根据调研结果形成了初步技术文档。编制人员组建了起草小组，对标准的主要内容进行编写并修改完善，前后</w:t>
      </w:r>
      <w:r>
        <w:rPr>
          <w:rFonts w:hint="default" w:ascii="Times New Roman" w:hAnsi="Times New Roman" w:eastAsia="宋体" w:cs="Times New Roman"/>
          <w:sz w:val="24"/>
          <w:szCs w:val="24"/>
        </w:rPr>
        <w:t>共形成</w:t>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版草案</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在草案编写过程中，核工业西南物理研究院相关人员对60KW电子束材料测试平台在多年测试过程中积累的数据进行了分析整理，并根据结果对草案的相关内容提出了修改建议。</w:t>
      </w:r>
      <w:r>
        <w:rPr>
          <w:rFonts w:hint="eastAsia" w:ascii="Times New Roman" w:hAnsi="Times New Roman" w:cs="Times New Roman"/>
          <w:sz w:val="24"/>
          <w:szCs w:val="24"/>
          <w:lang w:val="en-US" w:eastAsia="zh-CN"/>
        </w:rPr>
        <w:t>在起草阶段，编制团队还邀请聚变堆材料领域的相关专家召开了</w:t>
      </w:r>
      <w:r>
        <w:rPr>
          <w:rFonts w:hint="default" w:ascii="Times New Roman" w:hAnsi="Times New Roman" w:eastAsia="宋体" w:cs="Times New Roman"/>
          <w:sz w:val="24"/>
          <w:szCs w:val="24"/>
        </w:rPr>
        <w:t>专家咨询会</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专家对草稿提出了大量中肯的意见。编制团队根据专家的意见对草稿相关内容进行了修改。</w:t>
      </w:r>
      <w:bookmarkStart w:id="0" w:name="_GoBack"/>
      <w:bookmarkEnd w:id="0"/>
    </w:p>
    <w:p w14:paraId="533482E1"/>
    <w:p w14:paraId="572E2034">
      <w:pPr>
        <w:rPr>
          <w:b/>
        </w:rPr>
      </w:pPr>
      <w:r>
        <w:rPr>
          <w:rFonts w:hint="eastAsia"/>
          <w:b/>
        </w:rPr>
        <w:t>3、</w:t>
      </w:r>
      <w:r>
        <w:rPr>
          <w:b/>
        </w:rPr>
        <w:t>主要参加单位和工作组成员及其所作的工作等</w:t>
      </w:r>
    </w:p>
    <w:p w14:paraId="7EB827D9">
      <w:pPr>
        <w:ind w:firstLine="480" w:firstLineChars="200"/>
        <w:rPr>
          <w:rFonts w:hint="eastAsia"/>
          <w:lang w:val="en-US" w:eastAsia="zh-CN"/>
        </w:rPr>
      </w:pPr>
      <w:r>
        <w:rPr>
          <w:rFonts w:hint="eastAsia"/>
          <w:lang w:val="en-US" w:eastAsia="zh-CN"/>
        </w:rPr>
        <w:t>本标准的主要编写单位为核工业西南物理研究院，主要起草人员为封范、练友运、王建豹、王子杰、金羽中、刘翔。厦门钨业股份有限公司为本标准的参编单位，主要起人员为：刘春佳、罗泉祥、欧阳慧。北京安泰中科金属材料有限公司为本标准的参编单位，主要起人员为：史英丽、秦思贵、于宏新。</w:t>
      </w:r>
    </w:p>
    <w:p w14:paraId="4A964572">
      <w:pPr>
        <w:ind w:firstLine="480" w:firstLineChars="200"/>
        <w:rPr>
          <w:rFonts w:hint="default"/>
          <w:lang w:val="en-US" w:eastAsia="zh-CN"/>
        </w:rPr>
      </w:pPr>
      <w:r>
        <w:rPr>
          <w:rFonts w:hint="eastAsia"/>
          <w:lang w:val="en-US" w:eastAsia="zh-CN"/>
        </w:rPr>
        <w:t>其中封范、练友运主要负责测试过程的制定、测试参数的标定、标准的撰写等任务，王建豹负责相关测试样品的制备、测试过程的制定、标准的修改等任务，王子杰、金羽中参与测试过程的制定、样品的制备等任务，刘翔负责标准的撰写及修改等任务，刘春佳、史英丽负责测试模块的制备、模块测试过程的修订等任务，罗泉祥、欧阳慧、秦思贵、于宏新等人参与测试过程及测试参数的修订、测试后样品性能表征等任务。</w:t>
      </w:r>
    </w:p>
    <w:p w14:paraId="41BF9F52">
      <w:pPr>
        <w:ind w:firstLine="480" w:firstLineChars="200"/>
        <w:rPr>
          <w:rFonts w:hint="eastAsia"/>
          <w:lang w:val="en-US" w:eastAsia="zh-CN"/>
        </w:rPr>
      </w:pPr>
    </w:p>
    <w:p w14:paraId="71868CEF">
      <w:pPr>
        <w:ind w:firstLine="480" w:firstLineChars="200"/>
        <w:rPr>
          <w:rFonts w:hint="default"/>
          <w:lang w:val="en-US" w:eastAsia="zh-CN"/>
        </w:rPr>
      </w:pPr>
    </w:p>
    <w:p w14:paraId="20D5FDF0">
      <w:pPr>
        <w:outlineLvl w:val="0"/>
        <w:rPr>
          <w:b/>
          <w:sz w:val="28"/>
          <w:szCs w:val="28"/>
        </w:rPr>
      </w:pPr>
      <w:r>
        <w:rPr>
          <w:rFonts w:hint="eastAsia"/>
          <w:b/>
          <w:sz w:val="28"/>
          <w:szCs w:val="28"/>
        </w:rPr>
        <w:t>二、标准编制原则和主要内容</w:t>
      </w:r>
    </w:p>
    <w:p w14:paraId="47233154">
      <w:pPr>
        <w:rPr>
          <w:b/>
        </w:rPr>
      </w:pPr>
      <w:r>
        <w:rPr>
          <w:rFonts w:hint="eastAsia"/>
          <w:b/>
        </w:rPr>
        <w:t>1、标准编制原则</w:t>
      </w:r>
    </w:p>
    <w:p w14:paraId="27C9B3B1">
      <w:pPr>
        <w:jc w:val="both"/>
      </w:pPr>
      <w:r>
        <w:rPr>
          <w:rFonts w:hint="eastAsia"/>
        </w:rPr>
        <w:t>主要依据《中国核能行业协会团体标准管理办法（试行）》的相关要求，说明标准的科学性和实用性。</w:t>
      </w:r>
    </w:p>
    <w:p w14:paraId="5EFC259B">
      <w:pPr>
        <w:ind w:firstLine="480" w:firstLineChars="200"/>
        <w:jc w:val="both"/>
        <w:rPr>
          <w:i w:val="0"/>
          <w:iCs/>
        </w:rPr>
      </w:pPr>
      <w:r>
        <w:rPr>
          <w:rFonts w:hint="eastAsia"/>
          <w:i w:val="0"/>
          <w:iCs/>
        </w:rPr>
        <w:t>本标准的</w:t>
      </w:r>
      <w:r>
        <w:rPr>
          <w:rFonts w:hint="eastAsia"/>
          <w:i w:val="0"/>
          <w:iCs/>
          <w:lang w:val="en-US" w:eastAsia="zh-CN"/>
        </w:rPr>
        <w:t>制定</w:t>
      </w:r>
      <w:r>
        <w:rPr>
          <w:rFonts w:hint="eastAsia"/>
          <w:i w:val="0"/>
          <w:iCs/>
        </w:rPr>
        <w:t>符合</w:t>
      </w:r>
      <w:r>
        <w:rPr>
          <w:rFonts w:hint="eastAsia"/>
          <w:i w:val="0"/>
          <w:iCs/>
          <w:lang w:val="en-US" w:eastAsia="zh-CN"/>
        </w:rPr>
        <w:t>核聚变</w:t>
      </w:r>
      <w:r>
        <w:rPr>
          <w:rFonts w:hint="eastAsia"/>
          <w:i w:val="0"/>
          <w:iCs/>
        </w:rPr>
        <w:t>行业</w:t>
      </w:r>
      <w:r>
        <w:rPr>
          <w:rFonts w:hint="eastAsia"/>
          <w:i w:val="0"/>
          <w:iCs/>
          <w:lang w:val="en-US" w:eastAsia="zh-CN"/>
        </w:rPr>
        <w:t>聚变堆材料性能测试的相关准则及发展方向</w:t>
      </w:r>
      <w:r>
        <w:rPr>
          <w:rFonts w:hint="eastAsia"/>
          <w:i w:val="0"/>
          <w:iCs/>
        </w:rPr>
        <w:t>，本着先进性、科学性、合理性和可操作性的原则以及标准的目标、统一性、协调性、</w:t>
      </w:r>
      <w:r>
        <w:rPr>
          <w:i w:val="0"/>
          <w:iCs/>
        </w:rPr>
        <w:t>实用性、一致性和</w:t>
      </w:r>
      <w:r>
        <w:rPr>
          <w:rFonts w:hint="eastAsia"/>
          <w:i w:val="0"/>
          <w:iCs/>
        </w:rPr>
        <w:t>规范性原则来进行本标准的制定工作。</w:t>
      </w:r>
    </w:p>
    <w:p w14:paraId="070BA092">
      <w:pPr>
        <w:jc w:val="both"/>
        <w:rPr>
          <w:i w:val="0"/>
          <w:iCs/>
        </w:rPr>
      </w:pPr>
      <w:r>
        <w:rPr>
          <w:rFonts w:hint="eastAsia"/>
          <w:i w:val="0"/>
          <w:iCs/>
        </w:rPr>
        <w:t>（</w:t>
      </w:r>
      <w:r>
        <w:rPr>
          <w:i w:val="0"/>
          <w:iCs/>
        </w:rPr>
        <w:t>1）科学性</w:t>
      </w:r>
    </w:p>
    <w:p w14:paraId="2C78763D">
      <w:pPr>
        <w:tabs>
          <w:tab w:val="left" w:pos="1282"/>
        </w:tabs>
        <w:ind w:firstLine="480" w:firstLineChars="200"/>
        <w:jc w:val="both"/>
        <w:rPr>
          <w:rFonts w:hint="eastAsia" w:eastAsia="宋体"/>
          <w:i w:val="0"/>
          <w:iCs/>
          <w:lang w:eastAsia="zh-CN"/>
        </w:rPr>
      </w:pPr>
      <w:r>
        <w:rPr>
          <w:rFonts w:hint="eastAsia"/>
          <w:i w:val="0"/>
          <w:iCs/>
          <w:lang w:eastAsia="zh-CN"/>
        </w:rPr>
        <w:t>本标准针对面向等离子体材料的高热负荷测试评价，在无国内外现成标准可借鉴的前提下，起草团队系统梳理近十年</w:t>
      </w:r>
      <w:r>
        <w:rPr>
          <w:rFonts w:hint="eastAsia"/>
          <w:i w:val="0"/>
          <w:iCs/>
          <w:lang w:val="en-US" w:eastAsia="zh-CN"/>
        </w:rPr>
        <w:t>相关论文</w:t>
      </w:r>
      <w:r>
        <w:rPr>
          <w:rFonts w:hint="eastAsia"/>
          <w:i w:val="0"/>
          <w:iCs/>
          <w:lang w:eastAsia="zh-CN"/>
        </w:rPr>
        <w:t>及ITER技术报告共</w:t>
      </w:r>
      <w:r>
        <w:rPr>
          <w:rFonts w:hint="eastAsia"/>
          <w:i w:val="0"/>
          <w:iCs/>
          <w:lang w:val="en-US" w:eastAsia="zh-CN"/>
        </w:rPr>
        <w:t>百余篇</w:t>
      </w:r>
      <w:r>
        <w:rPr>
          <w:rFonts w:hint="eastAsia"/>
          <w:i w:val="0"/>
          <w:iCs/>
          <w:lang w:eastAsia="zh-CN"/>
        </w:rPr>
        <w:t>，</w:t>
      </w:r>
      <w:r>
        <w:rPr>
          <w:rFonts w:hint="eastAsia"/>
          <w:i w:val="0"/>
          <w:iCs/>
          <w:lang w:val="en-US" w:eastAsia="zh-CN"/>
        </w:rPr>
        <w:t>结合核工业西南物理研究院十多年电子束高热负荷测试经验，凝练出</w:t>
      </w:r>
      <w:r>
        <w:rPr>
          <w:rFonts w:hint="eastAsia"/>
          <w:i w:val="0"/>
          <w:iCs/>
          <w:lang w:eastAsia="zh-CN"/>
        </w:rPr>
        <w:t>电子束加载、红外测温、</w:t>
      </w:r>
      <w:r>
        <w:rPr>
          <w:rFonts w:hint="eastAsia"/>
          <w:i w:val="0"/>
          <w:iCs/>
          <w:lang w:val="en-US" w:eastAsia="zh-CN"/>
        </w:rPr>
        <w:t>测试后分析</w:t>
      </w:r>
      <w:r>
        <w:rPr>
          <w:rFonts w:hint="eastAsia"/>
          <w:i w:val="0"/>
          <w:iCs/>
          <w:lang w:eastAsia="zh-CN"/>
        </w:rPr>
        <w:t>三大</w:t>
      </w:r>
      <w:r>
        <w:rPr>
          <w:rFonts w:hint="eastAsia"/>
          <w:i w:val="0"/>
          <w:iCs/>
          <w:lang w:val="en-US" w:eastAsia="zh-CN"/>
        </w:rPr>
        <w:t>板块</w:t>
      </w:r>
      <w:r>
        <w:rPr>
          <w:rFonts w:hint="eastAsia"/>
          <w:i w:val="0"/>
          <w:iCs/>
          <w:lang w:eastAsia="zh-CN"/>
        </w:rPr>
        <w:t>，据此搭建涵盖稳态</w:t>
      </w:r>
      <w:r>
        <w:rPr>
          <w:rFonts w:hint="eastAsia"/>
          <w:i w:val="0"/>
          <w:iCs/>
          <w:lang w:val="en-US" w:eastAsia="zh-CN"/>
        </w:rPr>
        <w:t>及</w:t>
      </w:r>
      <w:r>
        <w:rPr>
          <w:rFonts w:hint="eastAsia"/>
          <w:i w:val="0"/>
          <w:iCs/>
          <w:lang w:eastAsia="zh-CN"/>
        </w:rPr>
        <w:t>瞬态</w:t>
      </w:r>
      <w:r>
        <w:rPr>
          <w:rFonts w:hint="eastAsia"/>
          <w:i w:val="0"/>
          <w:iCs/>
          <w:lang w:val="en-US" w:eastAsia="zh-CN"/>
        </w:rPr>
        <w:t>的高热负荷测试方案。</w:t>
      </w:r>
      <w:r>
        <w:rPr>
          <w:rFonts w:hint="eastAsia"/>
          <w:i w:val="0"/>
          <w:iCs/>
          <w:lang w:eastAsia="zh-CN"/>
        </w:rPr>
        <w:t>同时，依据</w:t>
      </w:r>
      <w:r>
        <w:rPr>
          <w:rFonts w:hint="eastAsia"/>
          <w:i w:val="0"/>
          <w:iCs/>
          <w:lang w:val="en-US" w:eastAsia="zh-CN"/>
        </w:rPr>
        <w:t>聚变堆</w:t>
      </w:r>
      <w:r>
        <w:rPr>
          <w:rFonts w:hint="eastAsia"/>
          <w:i w:val="0"/>
          <w:iCs/>
          <w:lang w:eastAsia="zh-CN"/>
        </w:rPr>
        <w:t>实际工程需求增加</w:t>
      </w:r>
      <w:r>
        <w:rPr>
          <w:rFonts w:hint="eastAsia"/>
          <w:i w:val="0"/>
          <w:iCs/>
          <w:lang w:val="en-US" w:eastAsia="zh-CN"/>
        </w:rPr>
        <w:t>面向等离子体材料的</w:t>
      </w:r>
      <w:r>
        <w:rPr>
          <w:rFonts w:hint="eastAsia"/>
          <w:i w:val="0"/>
          <w:iCs/>
          <w:lang w:eastAsia="zh-CN"/>
        </w:rPr>
        <w:t>稳态</w:t>
      </w:r>
      <w:r>
        <w:rPr>
          <w:rFonts w:hint="eastAsia"/>
          <w:i w:val="0"/>
          <w:iCs/>
          <w:lang w:val="en-US" w:eastAsia="zh-CN"/>
        </w:rPr>
        <w:t>与</w:t>
      </w:r>
      <w:r>
        <w:rPr>
          <w:rFonts w:hint="eastAsia"/>
          <w:i w:val="0"/>
          <w:iCs/>
          <w:lang w:eastAsia="zh-CN"/>
        </w:rPr>
        <w:t>瞬态</w:t>
      </w:r>
      <w:r>
        <w:rPr>
          <w:rFonts w:hint="eastAsia"/>
          <w:i w:val="0"/>
          <w:iCs/>
          <w:lang w:val="en-US" w:eastAsia="zh-CN"/>
        </w:rPr>
        <w:t>协同测试方案</w:t>
      </w:r>
      <w:r>
        <w:rPr>
          <w:rFonts w:hint="eastAsia"/>
          <w:i w:val="0"/>
          <w:iCs/>
          <w:lang w:eastAsia="zh-CN"/>
        </w:rPr>
        <w:t>，确保</w:t>
      </w:r>
      <w:r>
        <w:rPr>
          <w:rFonts w:hint="eastAsia"/>
          <w:i w:val="0"/>
          <w:iCs/>
          <w:lang w:val="en-US" w:eastAsia="zh-CN"/>
        </w:rPr>
        <w:t>本</w:t>
      </w:r>
      <w:r>
        <w:rPr>
          <w:rFonts w:hint="eastAsia"/>
          <w:i w:val="0"/>
          <w:iCs/>
          <w:lang w:eastAsia="zh-CN"/>
        </w:rPr>
        <w:t>标准既符合物理规律又可直接指导聚变</w:t>
      </w:r>
      <w:r>
        <w:rPr>
          <w:rFonts w:hint="eastAsia"/>
          <w:i w:val="0"/>
          <w:iCs/>
          <w:lang w:val="en-US" w:eastAsia="zh-CN"/>
        </w:rPr>
        <w:t>堆面向等离子体材料的性能</w:t>
      </w:r>
      <w:r>
        <w:rPr>
          <w:rFonts w:hint="eastAsia"/>
          <w:i w:val="0"/>
          <w:iCs/>
          <w:lang w:eastAsia="zh-CN"/>
        </w:rPr>
        <w:t>评估，从而填补了该领域标准空白。</w:t>
      </w:r>
    </w:p>
    <w:p w14:paraId="21FEEA22">
      <w:pPr>
        <w:jc w:val="both"/>
        <w:rPr>
          <w:i w:val="0"/>
          <w:iCs/>
        </w:rPr>
      </w:pPr>
      <w:r>
        <w:rPr>
          <w:rFonts w:hint="eastAsia"/>
          <w:i w:val="0"/>
          <w:iCs/>
        </w:rPr>
        <w:t>（</w:t>
      </w:r>
      <w:r>
        <w:rPr>
          <w:i w:val="0"/>
          <w:iCs/>
        </w:rPr>
        <w:t>2）实用性</w:t>
      </w:r>
    </w:p>
    <w:p w14:paraId="1EE52268">
      <w:pPr>
        <w:ind w:firstLine="480" w:firstLineChars="200"/>
        <w:jc w:val="both"/>
        <w:rPr>
          <w:rFonts w:hint="eastAsia"/>
          <w:i w:val="0"/>
          <w:iCs/>
        </w:rPr>
      </w:pPr>
      <w:r>
        <w:rPr>
          <w:rFonts w:hint="eastAsia"/>
          <w:i w:val="0"/>
          <w:iCs/>
        </w:rPr>
        <w:t>本标准规定了</w:t>
      </w:r>
      <w:r>
        <w:rPr>
          <w:rFonts w:hint="eastAsia"/>
          <w:i w:val="0"/>
          <w:iCs/>
          <w:lang w:val="en-US" w:eastAsia="zh-CN"/>
        </w:rPr>
        <w:t>聚变堆面向等离子体材料电子束高热负荷测试</w:t>
      </w:r>
      <w:r>
        <w:rPr>
          <w:rFonts w:hint="eastAsia"/>
          <w:i w:val="0"/>
          <w:iCs/>
        </w:rPr>
        <w:t>评价工作的全过程，包括评价前试验设备和人员要求，评价时对于样品准备、采样条件、评价流程以及评价后数据处理和报告编制等环节建立规范，以统一</w:t>
      </w:r>
      <w:r>
        <w:rPr>
          <w:rFonts w:hint="eastAsia"/>
          <w:i w:val="0"/>
          <w:iCs/>
          <w:lang w:val="en-US" w:eastAsia="zh-CN"/>
        </w:rPr>
        <w:t>面向等离子体材料电子束高热负荷测试</w:t>
      </w:r>
      <w:r>
        <w:rPr>
          <w:rFonts w:hint="eastAsia"/>
          <w:i w:val="0"/>
          <w:iCs/>
        </w:rPr>
        <w:t>评价方法，使其向科学化、合理化方向迈进，减少</w:t>
      </w:r>
      <w:r>
        <w:rPr>
          <w:rFonts w:hint="eastAsia"/>
          <w:i w:val="0"/>
          <w:iCs/>
          <w:lang w:val="en-US" w:eastAsia="zh-CN"/>
        </w:rPr>
        <w:t>面向等离子体材料电子束高热负荷</w:t>
      </w:r>
      <w:r>
        <w:rPr>
          <w:rFonts w:hint="eastAsia"/>
          <w:i w:val="0"/>
          <w:iCs/>
        </w:rPr>
        <w:t>评价的主观性、随意性，增加科学性、客观性，从而达到提高</w:t>
      </w:r>
      <w:r>
        <w:rPr>
          <w:rFonts w:hint="eastAsia"/>
          <w:i w:val="0"/>
          <w:iCs/>
          <w:lang w:val="en-US" w:eastAsia="zh-CN"/>
        </w:rPr>
        <w:t>聚变堆面向等离子体材料高热负荷性能检测</w:t>
      </w:r>
      <w:r>
        <w:rPr>
          <w:rFonts w:hint="eastAsia"/>
          <w:i w:val="0"/>
          <w:iCs/>
        </w:rPr>
        <w:t>管控水平的目的。</w:t>
      </w:r>
    </w:p>
    <w:p w14:paraId="176A4048">
      <w:pPr>
        <w:ind w:firstLine="480" w:firstLineChars="200"/>
        <w:jc w:val="both"/>
        <w:rPr>
          <w:rFonts w:hint="eastAsia"/>
          <w:i w:val="0"/>
          <w:iCs/>
        </w:rPr>
      </w:pPr>
    </w:p>
    <w:p w14:paraId="00EE86BE">
      <w:pPr>
        <w:jc w:val="both"/>
        <w:rPr>
          <w:b/>
        </w:rPr>
      </w:pPr>
      <w:r>
        <w:rPr>
          <w:rFonts w:hint="eastAsia"/>
          <w:b/>
        </w:rPr>
        <w:t>2、标准主要内容的依据</w:t>
      </w:r>
    </w:p>
    <w:p w14:paraId="01A54B80">
      <w:pPr>
        <w:ind w:firstLine="480" w:firstLineChars="200"/>
        <w:jc w:val="both"/>
        <w:rPr>
          <w:rFonts w:hint="eastAsia"/>
        </w:rPr>
      </w:pPr>
      <w:r>
        <w:rPr>
          <w:rFonts w:hint="eastAsia"/>
          <w:lang w:val="en-US" w:eastAsia="zh-CN"/>
        </w:rPr>
        <w:t>本</w:t>
      </w:r>
      <w:r>
        <w:rPr>
          <w:rFonts w:hint="eastAsia"/>
        </w:rPr>
        <w:t>标准</w:t>
      </w:r>
      <w:r>
        <w:rPr>
          <w:rFonts w:hint="eastAsia"/>
          <w:lang w:val="en-US" w:eastAsia="zh-CN"/>
        </w:rPr>
        <w:t>按照</w:t>
      </w:r>
      <w:r>
        <w:t>GB/T 1.1-2009</w:t>
      </w:r>
      <w:r>
        <w:rPr>
          <w:rFonts w:hint="eastAsia"/>
          <w:lang w:val="en-US" w:eastAsia="zh-CN"/>
        </w:rPr>
        <w:t>和</w:t>
      </w:r>
      <w:r>
        <w:rPr>
          <w:rFonts w:ascii="Calibri" w:hAnsi="Calibri" w:cs="Calibri"/>
          <w:sz w:val="24"/>
        </w:rPr>
        <w:t>《中国核能行业协会团体标准化工作导则 第2部分：标准编制》</w:t>
      </w:r>
      <w:r>
        <w:t>的要求</w:t>
      </w:r>
      <w:r>
        <w:rPr>
          <w:rFonts w:hint="eastAsia"/>
          <w:lang w:val="en-US" w:eastAsia="zh-CN"/>
        </w:rPr>
        <w:t>对格式及内容进行编写</w:t>
      </w:r>
      <w:r>
        <w:rPr>
          <w:rFonts w:hint="eastAsia"/>
          <w:lang w:eastAsia="zh-CN"/>
        </w:rPr>
        <w:t>。</w:t>
      </w:r>
      <w:r>
        <w:rPr>
          <w:rFonts w:hint="eastAsia"/>
          <w:lang w:val="en-US" w:eastAsia="zh-CN"/>
        </w:rPr>
        <w:t>根据面向等离子体材料的电子束高热负荷测试方法及具体过程，本标准分为</w:t>
      </w:r>
      <w:r>
        <w:rPr>
          <w:rFonts w:hint="eastAsia"/>
        </w:rPr>
        <w:t>10个章节，主要包括：1.范围，2.规范性引用文件，3.术语和定义，4.测试原理，5.测试设备及要求，6.测试材料要求，7.高热负荷测试分类，8.高热负荷测试过程，9.高热负荷测试后分析，10.测试报告。</w:t>
      </w:r>
    </w:p>
    <w:p w14:paraId="3EC55A60">
      <w:pPr>
        <w:ind w:firstLine="480" w:firstLineChars="200"/>
        <w:jc w:val="both"/>
        <w:rPr>
          <w:rFonts w:hint="eastAsia"/>
        </w:rPr>
      </w:pPr>
    </w:p>
    <w:p w14:paraId="783A352A">
      <w:pPr>
        <w:rPr>
          <w:b/>
        </w:rPr>
      </w:pPr>
      <w:r>
        <w:rPr>
          <w:rFonts w:hint="eastAsia"/>
          <w:b/>
        </w:rPr>
        <w:t>3、解决的主要问题</w:t>
      </w:r>
    </w:p>
    <w:p w14:paraId="075FBEFC">
      <w:pPr>
        <w:ind w:firstLine="480" w:firstLineChars="200"/>
        <w:rPr>
          <w:rFonts w:hint="eastAsia"/>
        </w:rPr>
      </w:pPr>
      <w:r>
        <w:rPr>
          <w:rFonts w:hint="eastAsia"/>
        </w:rPr>
        <w:t>面向等离子体材料是核聚变能商业化能否成功的关键因素之一，面向等离子体材料在聚变堆内部应用于偏滤器和第一壁位置，是保护真空室内壁免受高温等离子体直接辐照的关键屏障。由于面向等离子体材料直接暴露于聚变高温等离子体边缘，聚变环境中各种粒子的轰击会在面向等离子体材料表面形成高热负荷沉积，从而使面向等离子体材料产生缺陷和损伤。因此，在面向等离子体材料入堆前必须对其抗高热负荷性能进行测试，以满足入堆要求。</w:t>
      </w:r>
    </w:p>
    <w:p w14:paraId="7647F02C">
      <w:pPr>
        <w:ind w:firstLine="480" w:firstLineChars="200"/>
        <w:rPr>
          <w:rFonts w:hint="eastAsia"/>
        </w:rPr>
      </w:pPr>
      <w:r>
        <w:rPr>
          <w:rFonts w:hint="eastAsia"/>
        </w:rPr>
        <w:t>在聚变堆内部，面向等离子体材料会受到瞬态热负荷和稳态热负荷两种热负荷的影响，根据作用时间和能量高能的不同，瞬态热负荷可以分边缘局域模（edge</w:t>
      </w:r>
    </w:p>
    <w:p w14:paraId="569C37B8">
      <w:pPr>
        <w:rPr>
          <w:rFonts w:hint="eastAsia"/>
        </w:rPr>
      </w:pPr>
      <w:r>
        <w:rPr>
          <w:rFonts w:hint="eastAsia"/>
        </w:rPr>
        <w:t>localized modes，ELMs）、等离子体破裂（disruptions）和垂直位移事件（VDEs）三种不同的模式。以国际热核聚变装置（ITER）为例，其偏滤器需要承受约5-20MW/m2的稳态热负荷和壁负载高达GW/m2的瞬态热负荷的作用。高热负荷不但会造成面向等离子体材料本身发生包括表面塑性变形、裂纹、熔化/再凝固、腐蚀等不可逆的损伤，还有可能引起面向等离子体部件的界面开裂甚至结构失效，从而严重影响材料和部件的使用寿命以及聚变装置的安全运行。因此，在材料入堆前需要对其抗高热负荷性能进行测试。</w:t>
      </w:r>
    </w:p>
    <w:p w14:paraId="09C92ECB">
      <w:pPr>
        <w:ind w:firstLine="480" w:firstLineChars="200"/>
        <w:rPr>
          <w:rFonts w:hint="eastAsia"/>
        </w:rPr>
      </w:pPr>
      <w:r>
        <w:rPr>
          <w:rFonts w:hint="eastAsia"/>
        </w:rPr>
        <w:t>为了模拟聚变装置内部面向等离子体材料所面对的热负荷环境，等离子体流、中性束、电子束、激光等各类加热装置被开发利用并对材料进行热负荷测试。电子束由于其优秀的热转换效率、成熟的开发工艺及精确的控制方式被各国广泛用来模拟聚变装置内部的热负荷环境。目前国内外聚变堆材料发展迅速，为了验证面向等离子体材料的入堆可靠性，国内相关科研院所都在积极推进面向等离子体材料的高热负荷性能测试。但目前国内尚无对面向等离子体材料电子束高热负荷测试的相关标准，建立标准能够规范测试流程、设备参数、数据采集和分析方法，确保测试结果的准确性和可重复性。这对于不同研究团队之间的数据对比和共享至关重要，能够加速聚变堆材料的研发进程。通过建立标准化的测试流程，可以减少重复性实验和无效研究，提高研发效率。同时，标准化的测试结果能够为工程设计提供更可靠的依据，避免因材料性能评估不准确而导致的设计变更和重复建设，从而降低聚变堆的研发成本。建立聚变堆面向等离子体材料的电子束高热负荷测试标准，对于保障聚变堆的安全运行、推动材料研发、促进国际合作以及降低研发成本等方面都具有重要的意义。</w:t>
      </w:r>
    </w:p>
    <w:p w14:paraId="7C1E066E">
      <w:pPr>
        <w:ind w:firstLine="480" w:firstLineChars="200"/>
        <w:rPr>
          <w:rFonts w:hint="eastAsia"/>
        </w:rPr>
      </w:pPr>
    </w:p>
    <w:p w14:paraId="67313798">
      <w:pPr>
        <w:outlineLvl w:val="0"/>
        <w:rPr>
          <w:b/>
          <w:sz w:val="28"/>
          <w:szCs w:val="28"/>
        </w:rPr>
      </w:pPr>
      <w:r>
        <w:rPr>
          <w:rFonts w:hint="eastAsia"/>
          <w:b/>
          <w:sz w:val="28"/>
          <w:szCs w:val="28"/>
        </w:rPr>
        <w:t>三、主要试验（或验证）情况</w:t>
      </w:r>
    </w:p>
    <w:p w14:paraId="6BA52DF4">
      <w:pPr>
        <w:ind w:firstLine="480" w:firstLineChars="200"/>
        <w:jc w:val="both"/>
        <w:rPr>
          <w:rFonts w:hint="eastAsia" w:ascii="Times New Roman"/>
          <w:lang w:val="en-US" w:eastAsia="zh-CN"/>
        </w:rPr>
      </w:pPr>
      <w:r>
        <w:rPr>
          <w:rFonts w:hint="eastAsia" w:ascii="Times New Roman"/>
          <w:lang w:val="en-US" w:eastAsia="zh-CN"/>
        </w:rPr>
        <w:t>在</w:t>
      </w:r>
      <w:r>
        <w:rPr>
          <w:rFonts w:hint="eastAsia" w:ascii="Times New Roman"/>
        </w:rPr>
        <w:t>瞬态高热负荷测试</w:t>
      </w:r>
      <w:r>
        <w:rPr>
          <w:rFonts w:hint="eastAsia" w:ascii="Times New Roman"/>
          <w:lang w:val="en-US" w:eastAsia="zh-CN"/>
        </w:rPr>
        <w:t>中</w:t>
      </w:r>
      <w:r>
        <w:rPr>
          <w:rFonts w:hint="eastAsia" w:ascii="Times New Roman"/>
        </w:rPr>
        <w:t>，</w:t>
      </w:r>
      <w:r>
        <w:rPr>
          <w:rFonts w:hint="eastAsia" w:ascii="Times New Roman"/>
          <w:lang w:val="en-US" w:eastAsia="zh-CN"/>
        </w:rPr>
        <w:t>本标准建议</w:t>
      </w:r>
      <w:r>
        <w:rPr>
          <w:rFonts w:hint="eastAsia" w:ascii="Times New Roman"/>
        </w:rPr>
        <w:t>测试样品尺寸须大于热加载面积，</w:t>
      </w:r>
      <w:r>
        <w:rPr>
          <w:rFonts w:hint="eastAsia" w:ascii="Times New Roman"/>
          <w:lang w:val="en-US" w:eastAsia="zh-CN"/>
        </w:rPr>
        <w:t>且样品</w:t>
      </w:r>
      <w:r>
        <w:rPr>
          <w:rFonts w:hint="eastAsia" w:ascii="Times New Roman"/>
        </w:rPr>
        <w:t>厚度建议大于</w:t>
      </w:r>
      <w:r>
        <w:rPr>
          <w:rFonts w:ascii="Times New Roman"/>
        </w:rPr>
        <w:t>2</w:t>
      </w:r>
      <w:r>
        <w:rPr>
          <w:rFonts w:hint="eastAsia" w:ascii="Times New Roman"/>
        </w:rPr>
        <w:t>mm</w:t>
      </w:r>
      <w:r>
        <w:rPr>
          <w:rFonts w:hint="eastAsia" w:ascii="Times New Roman"/>
          <w:lang w:eastAsia="zh-CN"/>
        </w:rPr>
        <w:t>。</w:t>
      </w:r>
      <w:r>
        <w:rPr>
          <w:rFonts w:hint="eastAsia" w:ascii="Times New Roman"/>
          <w:lang w:val="en-US" w:eastAsia="zh-CN"/>
        </w:rPr>
        <w:t>这是由于在瞬态高热负荷测试中，电子束加载到样品表面时，样品表面温度会迅速升高，在极短时间的加载后，样品表面温度又迅速冷却。试验表明，如果样品厚度过小，在电子束加载时样品的热影响区会穿透样品，此时样品的热量会向热加载区周围扩散，导致样品的热量传递路径与聚变堆内的实际工况不一致。</w:t>
      </w:r>
    </w:p>
    <w:p w14:paraId="07BB6040">
      <w:pPr>
        <w:ind w:firstLine="480" w:firstLineChars="200"/>
        <w:jc w:val="both"/>
        <w:rPr>
          <w:rFonts w:ascii="Times New Roman"/>
        </w:rPr>
      </w:pPr>
      <w:r>
        <w:rPr>
          <w:rFonts w:hint="eastAsia" w:ascii="Times New Roman"/>
          <w:lang w:val="en-US" w:eastAsia="zh-CN"/>
        </w:rPr>
        <w:t>标准还建议在瞬态高热负荷测试中，热加载</w:t>
      </w:r>
      <w:r>
        <w:rPr>
          <w:rFonts w:ascii="Times New Roman"/>
        </w:rPr>
        <w:t>脉冲循环次数</w:t>
      </w:r>
      <w:r>
        <w:rPr>
          <w:rFonts w:hint="eastAsia" w:ascii="Times New Roman"/>
        </w:rPr>
        <w:t>不低于</w:t>
      </w:r>
      <w:r>
        <w:rPr>
          <w:rFonts w:ascii="Times New Roman"/>
        </w:rPr>
        <w:t>100次，间隔时间</w:t>
      </w:r>
      <w:r>
        <w:rPr>
          <w:rFonts w:hint="eastAsia" w:ascii="Times New Roman"/>
        </w:rPr>
        <w:t>需</w:t>
      </w:r>
      <w:r>
        <w:rPr>
          <w:rFonts w:ascii="Times New Roman"/>
        </w:rPr>
        <w:t>确保基体温度恒定</w:t>
      </w:r>
      <w:r>
        <w:rPr>
          <w:rFonts w:hint="eastAsia" w:ascii="Times New Roman"/>
        </w:rPr>
        <w:t>（建议大于3s），吸收功率密度不低于1</w:t>
      </w:r>
      <w:r>
        <w:rPr>
          <w:rFonts w:ascii="Times New Roman"/>
        </w:rPr>
        <w:t>00</w:t>
      </w:r>
      <w:r>
        <w:rPr>
          <w:rFonts w:hint="eastAsia" w:ascii="Times New Roman"/>
        </w:rPr>
        <w:t>MW</w:t>
      </w:r>
      <w:r>
        <w:rPr>
          <w:rFonts w:ascii="Times New Roman"/>
        </w:rPr>
        <w:t>/m</w:t>
      </w:r>
      <w:r>
        <w:rPr>
          <w:rFonts w:ascii="Times New Roman"/>
          <w:vertAlign w:val="superscript"/>
        </w:rPr>
        <w:t>2</w:t>
      </w:r>
      <w:r>
        <w:rPr>
          <w:rFonts w:ascii="Times New Roman"/>
        </w:rPr>
        <w:t>。</w:t>
      </w:r>
      <w:r>
        <w:rPr>
          <w:rFonts w:hint="eastAsia" w:ascii="Times New Roman"/>
          <w:lang w:val="en-US" w:eastAsia="zh-CN"/>
        </w:rPr>
        <w:t>这是为了使样品每次热加载时，基体温度能处于平稳状态。试验表明，如果样品加载的间隔时间过短，在经过多个循环的加载后，样品基体温度会明显升高，在极端情况下，样品基体会被整体加热到500℃以上。因此加载间隔需要在3s左右，才能使样品基体温度达到平衡。对于吸收功率密度而言，大量的试验表明，纯钨在</w:t>
      </w:r>
      <w:r>
        <w:rPr>
          <w:rFonts w:hint="eastAsia" w:ascii="Times New Roman"/>
        </w:rPr>
        <w:t>1</w:t>
      </w:r>
      <w:r>
        <w:rPr>
          <w:rFonts w:ascii="Times New Roman"/>
        </w:rPr>
        <w:t>00</w:t>
      </w:r>
      <w:r>
        <w:rPr>
          <w:rFonts w:hint="eastAsia" w:ascii="Times New Roman"/>
        </w:rPr>
        <w:t>MW</w:t>
      </w:r>
      <w:r>
        <w:rPr>
          <w:rFonts w:ascii="Times New Roman"/>
        </w:rPr>
        <w:t>/m</w:t>
      </w:r>
      <w:r>
        <w:rPr>
          <w:rFonts w:ascii="Times New Roman"/>
          <w:vertAlign w:val="superscript"/>
        </w:rPr>
        <w:t>2</w:t>
      </w:r>
      <w:r>
        <w:rPr>
          <w:rFonts w:hint="eastAsia" w:ascii="Times New Roman"/>
          <w:lang w:val="en-US" w:eastAsia="zh-CN"/>
        </w:rPr>
        <w:t>以下进行测试时，样品表面加载区域无任何变化，使用SEM观察加载区域，也无法观察到加载区域与非加载区域的区别。随着吸收功率密度的上升，在经过不低于100次的加载后，样品加载区域可以观察到表面形貌的变化，因此建议</w:t>
      </w:r>
      <w:r>
        <w:rPr>
          <w:rFonts w:hint="eastAsia" w:ascii="Times New Roman"/>
        </w:rPr>
        <w:t>吸收功率密度不低于1</w:t>
      </w:r>
      <w:r>
        <w:rPr>
          <w:rFonts w:ascii="Times New Roman"/>
        </w:rPr>
        <w:t>00</w:t>
      </w:r>
      <w:r>
        <w:rPr>
          <w:rFonts w:hint="eastAsia" w:ascii="Times New Roman"/>
        </w:rPr>
        <w:t>MW</w:t>
      </w:r>
      <w:r>
        <w:rPr>
          <w:rFonts w:ascii="Times New Roman"/>
        </w:rPr>
        <w:t>/m</w:t>
      </w:r>
      <w:r>
        <w:rPr>
          <w:rFonts w:ascii="Times New Roman"/>
          <w:vertAlign w:val="superscript"/>
        </w:rPr>
        <w:t>2</w:t>
      </w:r>
      <w:r>
        <w:rPr>
          <w:rFonts w:ascii="Times New Roman"/>
        </w:rPr>
        <w:t>。</w:t>
      </w:r>
    </w:p>
    <w:p w14:paraId="1985AB7C">
      <w:pPr>
        <w:ind w:firstLine="480" w:firstLineChars="200"/>
        <w:jc w:val="both"/>
        <w:rPr>
          <w:rFonts w:hint="default" w:ascii="Times New Roman"/>
          <w:lang w:val="en-US" w:eastAsia="zh-CN"/>
        </w:rPr>
      </w:pPr>
      <w:r>
        <w:rPr>
          <w:rFonts w:hint="eastAsia" w:ascii="Times New Roman"/>
          <w:lang w:val="en-US" w:eastAsia="zh-CN"/>
        </w:rPr>
        <w:t>本标准中规定</w:t>
      </w:r>
      <w:r>
        <w:rPr>
          <w:rFonts w:hint="default" w:ascii="Times New Roman"/>
          <w:lang w:val="en-US" w:eastAsia="zh-CN"/>
        </w:rPr>
        <w:t>瞬态高热负荷</w:t>
      </w:r>
      <w:r>
        <w:rPr>
          <w:rFonts w:hint="eastAsia" w:ascii="Times New Roman"/>
          <w:lang w:val="en-US" w:eastAsia="zh-CN"/>
        </w:rPr>
        <w:t>测试样品表面须</w:t>
      </w:r>
      <w:r>
        <w:rPr>
          <w:rFonts w:hint="default" w:ascii="Times New Roman"/>
          <w:lang w:val="en-US" w:eastAsia="zh-CN"/>
        </w:rPr>
        <w:t>进行机械抛光</w:t>
      </w:r>
      <w:r>
        <w:rPr>
          <w:rFonts w:hint="eastAsia" w:ascii="Times New Roman"/>
          <w:lang w:val="en-US" w:eastAsia="zh-CN"/>
        </w:rPr>
        <w:t>处理</w:t>
      </w:r>
      <w:r>
        <w:rPr>
          <w:rFonts w:hint="default" w:ascii="Times New Roman"/>
          <w:lang w:val="en-US" w:eastAsia="zh-CN"/>
        </w:rPr>
        <w:t>，制备成为无宏观缺陷的样品</w:t>
      </w:r>
      <w:r>
        <w:rPr>
          <w:rFonts w:hint="eastAsia" w:ascii="Times New Roman"/>
          <w:lang w:val="en-US" w:eastAsia="zh-CN"/>
        </w:rPr>
        <w:t>，而</w:t>
      </w:r>
      <w:r>
        <w:rPr>
          <w:rFonts w:hint="default" w:ascii="Times New Roman"/>
          <w:lang w:val="en-US" w:eastAsia="zh-CN"/>
        </w:rPr>
        <w:t>稳态高热负荷</w:t>
      </w:r>
      <w:r>
        <w:rPr>
          <w:rFonts w:hint="eastAsia" w:ascii="Times New Roman"/>
          <w:lang w:val="en-US" w:eastAsia="zh-CN"/>
        </w:rPr>
        <w:t>测试样品只</w:t>
      </w:r>
      <w:r>
        <w:rPr>
          <w:rFonts w:hint="default" w:ascii="Times New Roman"/>
          <w:lang w:val="en-US" w:eastAsia="zh-CN"/>
        </w:rPr>
        <w:t>建议使用1200目砂纸打磨处理。</w:t>
      </w:r>
      <w:r>
        <w:rPr>
          <w:rFonts w:hint="eastAsia" w:ascii="Times New Roman"/>
          <w:lang w:val="en-US" w:eastAsia="zh-CN"/>
        </w:rPr>
        <w:t>这是由于在瞬态高热负荷测试中，样品由于总加载时间较短，样品表面形貌变化较小，为了便于观察样品加载区域的表面形貌变化，需要对样品表面进行抛光处理，尽量减少表面原始形貌对加载区域形貌变化的影响。在稳态高热负荷测试中，样品总的热加载时间足够长，此时样品表面的形貌变化比较大，这种形貌变化足以覆盖原始表面上的各种缺陷，因此在</w:t>
      </w:r>
      <w:r>
        <w:rPr>
          <w:rFonts w:hint="default" w:ascii="Times New Roman"/>
          <w:lang w:val="en-US" w:eastAsia="zh-CN"/>
        </w:rPr>
        <w:t>稳态高热负荷</w:t>
      </w:r>
      <w:r>
        <w:rPr>
          <w:rFonts w:hint="eastAsia" w:ascii="Times New Roman"/>
          <w:lang w:val="en-US" w:eastAsia="zh-CN"/>
        </w:rPr>
        <w:t>测试样品制备时</w:t>
      </w:r>
      <w:r>
        <w:rPr>
          <w:rFonts w:hint="default" w:ascii="Times New Roman"/>
          <w:lang w:val="en-US" w:eastAsia="zh-CN"/>
        </w:rPr>
        <w:t>使用1200目砂纸打磨处理</w:t>
      </w:r>
      <w:r>
        <w:rPr>
          <w:rFonts w:hint="eastAsia" w:ascii="Times New Roman"/>
          <w:lang w:val="en-US" w:eastAsia="zh-CN"/>
        </w:rPr>
        <w:t>就可以，该处理可以在不改变测试结果的前提下有效减少样品制备所花费的时间</w:t>
      </w:r>
      <w:r>
        <w:rPr>
          <w:rFonts w:hint="default" w:ascii="Times New Roman"/>
          <w:lang w:val="en-US" w:eastAsia="zh-CN"/>
        </w:rPr>
        <w:t>。</w:t>
      </w:r>
    </w:p>
    <w:p w14:paraId="4BCBA490">
      <w:pPr>
        <w:ind w:firstLine="480" w:firstLineChars="200"/>
        <w:jc w:val="both"/>
        <w:rPr>
          <w:rFonts w:hint="eastAsia" w:ascii="Times New Roman"/>
          <w:lang w:val="en-US" w:eastAsia="zh-CN"/>
        </w:rPr>
      </w:pPr>
      <w:r>
        <w:rPr>
          <w:rFonts w:hint="eastAsia" w:ascii="Times New Roman"/>
          <w:lang w:val="en-US" w:eastAsia="zh-CN"/>
        </w:rPr>
        <w:t>在</w:t>
      </w:r>
      <w:r>
        <w:rPr>
          <w:rFonts w:ascii="Times New Roman"/>
        </w:rPr>
        <w:t>瞬态和稳态高热负荷协同实验</w:t>
      </w:r>
      <w:r>
        <w:rPr>
          <w:rFonts w:hint="eastAsia" w:ascii="Times New Roman"/>
          <w:lang w:val="en-US" w:eastAsia="zh-CN"/>
        </w:rPr>
        <w:t>中，一般</w:t>
      </w:r>
      <w:r>
        <w:rPr>
          <w:rFonts w:ascii="Times New Roman"/>
        </w:rPr>
        <w:t>采用水冷模块考核面向等离子体材料的耐高热负荷性能</w:t>
      </w:r>
      <w:r>
        <w:rPr>
          <w:rFonts w:hint="eastAsia" w:ascii="Times New Roman"/>
          <w:lang w:eastAsia="zh-CN"/>
        </w:rPr>
        <w:t>，</w:t>
      </w:r>
      <w:r>
        <w:rPr>
          <w:rFonts w:hint="eastAsia" w:ascii="Times New Roman"/>
          <w:lang w:val="en-US" w:eastAsia="zh-CN"/>
        </w:rPr>
        <w:t>在此类测试中，本标准建议</w:t>
      </w:r>
      <w:r>
        <w:rPr>
          <w:rFonts w:ascii="Times New Roman"/>
        </w:rPr>
        <w:t>瞬态热负荷</w:t>
      </w:r>
      <w:r>
        <w:rPr>
          <w:rFonts w:hint="eastAsia" w:ascii="Times New Roman"/>
          <w:lang w:val="en-US" w:eastAsia="zh-CN"/>
        </w:rPr>
        <w:t>的</w:t>
      </w:r>
      <w:r>
        <w:rPr>
          <w:rFonts w:ascii="Times New Roman"/>
        </w:rPr>
        <w:t>单次持续时间</w:t>
      </w:r>
      <w:r>
        <w:rPr>
          <w:rFonts w:hint="eastAsia" w:ascii="Times New Roman"/>
        </w:rPr>
        <w:t>不低于0</w:t>
      </w:r>
      <w:r>
        <w:rPr>
          <w:rFonts w:ascii="Times New Roman"/>
        </w:rPr>
        <w:t>.2ms</w:t>
      </w:r>
      <w:r>
        <w:rPr>
          <w:rFonts w:hint="eastAsia" w:ascii="Times New Roman"/>
        </w:rPr>
        <w:t>（建议</w:t>
      </w:r>
      <w:r>
        <w:rPr>
          <w:rFonts w:ascii="Times New Roman"/>
        </w:rPr>
        <w:t>0.5ms</w:t>
      </w:r>
      <w:r>
        <w:rPr>
          <w:rFonts w:hint="eastAsia" w:ascii="Times New Roman"/>
        </w:rPr>
        <w:t>）</w:t>
      </w:r>
      <w:r>
        <w:rPr>
          <w:rFonts w:ascii="Times New Roman"/>
        </w:rPr>
        <w:t>，脉冲循环次数</w:t>
      </w:r>
      <w:r>
        <w:rPr>
          <w:rFonts w:hint="eastAsia" w:ascii="Times New Roman"/>
        </w:rPr>
        <w:t>不低于1</w:t>
      </w:r>
      <w:r>
        <w:rPr>
          <w:rFonts w:ascii="Times New Roman"/>
        </w:rPr>
        <w:t>0000次</w:t>
      </w:r>
      <w:r>
        <w:rPr>
          <w:rFonts w:hint="eastAsia" w:ascii="Times New Roman"/>
        </w:rPr>
        <w:t>（建议</w:t>
      </w:r>
      <w:r>
        <w:rPr>
          <w:rFonts w:ascii="Times New Roman"/>
        </w:rPr>
        <w:t>50000</w:t>
      </w:r>
      <w:r>
        <w:rPr>
          <w:rFonts w:hint="eastAsia" w:ascii="Times New Roman"/>
        </w:rPr>
        <w:t>次）</w:t>
      </w:r>
      <w:r>
        <w:rPr>
          <w:rFonts w:ascii="Times New Roman"/>
        </w:rPr>
        <w:t>，频率</w:t>
      </w:r>
      <w:r>
        <w:rPr>
          <w:rFonts w:hint="eastAsia" w:ascii="Times New Roman"/>
          <w:lang w:val="en-US" w:eastAsia="zh-CN"/>
        </w:rPr>
        <w:t>为</w:t>
      </w:r>
      <w:r>
        <w:rPr>
          <w:rFonts w:ascii="Times New Roman"/>
        </w:rPr>
        <w:t>1-50Hz</w:t>
      </w:r>
      <w:r>
        <w:rPr>
          <w:rFonts w:hint="eastAsia" w:ascii="Times New Roman"/>
        </w:rPr>
        <w:t>（建议2</w:t>
      </w:r>
      <w:r>
        <w:rPr>
          <w:rFonts w:ascii="Times New Roman"/>
        </w:rPr>
        <w:t>0</w:t>
      </w:r>
      <w:r>
        <w:rPr>
          <w:rFonts w:hint="eastAsia" w:ascii="Times New Roman"/>
        </w:rPr>
        <w:t>Hz）</w:t>
      </w:r>
      <w:r>
        <w:rPr>
          <w:rFonts w:hint="eastAsia" w:ascii="Times New Roman"/>
          <w:lang w:eastAsia="zh-CN"/>
        </w:rPr>
        <w:t>。</w:t>
      </w:r>
      <w:r>
        <w:rPr>
          <w:rFonts w:hint="eastAsia" w:ascii="Times New Roman"/>
          <w:lang w:val="en-US" w:eastAsia="zh-CN"/>
        </w:rPr>
        <w:t>建议的参数符合聚变堆面向等离子体材料的实际工况，在</w:t>
      </w:r>
      <w:r>
        <w:rPr>
          <w:rFonts w:ascii="Times New Roman"/>
        </w:rPr>
        <w:t>瞬态和稳态高热负荷协同实验</w:t>
      </w:r>
      <w:r>
        <w:rPr>
          <w:rFonts w:hint="eastAsia" w:ascii="Times New Roman"/>
          <w:lang w:val="en-US" w:eastAsia="zh-CN"/>
        </w:rPr>
        <w:t>中，由于稳态高热负荷的存在，样品基体温度会根据具体功率密度的不同处于比较高的状态，此时的基体温度一般都会高于钨材料的韧脆转变温度，也就是说此时基体的钨材料处于韧性区间。在这种条件下，在样品表面叠加瞬态高热负荷时，样品难以产生裂纹。因此需要根据聚变堆内部的实际工况，提高瞬态高热负荷的循环次数，以观察在接近聚变堆实际工况的条件下样品在</w:t>
      </w:r>
      <w:r>
        <w:rPr>
          <w:rFonts w:ascii="Times New Roman"/>
        </w:rPr>
        <w:t>瞬态和稳态高热负荷协同</w:t>
      </w:r>
      <w:r>
        <w:rPr>
          <w:rFonts w:hint="eastAsia" w:ascii="Times New Roman"/>
          <w:lang w:val="en-US" w:eastAsia="zh-CN"/>
        </w:rPr>
        <w:t>加载时表面的形貌变化。</w:t>
      </w:r>
    </w:p>
    <w:p w14:paraId="31CD1A29">
      <w:pPr>
        <w:ind w:firstLine="480" w:firstLineChars="200"/>
        <w:jc w:val="both"/>
        <w:rPr>
          <w:rFonts w:hint="default" w:ascii="Times New Roman"/>
          <w:lang w:val="en-US" w:eastAsia="zh-CN"/>
        </w:rPr>
      </w:pPr>
      <w:r>
        <w:rPr>
          <w:rFonts w:hint="eastAsia" w:ascii="Times New Roman"/>
          <w:lang w:val="en-US" w:eastAsia="zh-CN"/>
        </w:rPr>
        <w:t>本标准的所有实验参数，均是在大量实验得到相关结果的基础上制定的，所有参数均有相应的理论依据及实验数据支撑。</w:t>
      </w:r>
    </w:p>
    <w:p w14:paraId="2D0826CC">
      <w:pPr>
        <w:rPr>
          <w:rFonts w:hint="eastAsia"/>
        </w:rPr>
      </w:pPr>
    </w:p>
    <w:p w14:paraId="746DCBAD">
      <w:pPr>
        <w:rPr>
          <w:rFonts w:hint="eastAsia"/>
        </w:rPr>
      </w:pPr>
    </w:p>
    <w:p w14:paraId="2C6D0654">
      <w:pPr>
        <w:outlineLvl w:val="0"/>
        <w:rPr>
          <w:b/>
          <w:sz w:val="28"/>
          <w:szCs w:val="28"/>
        </w:rPr>
      </w:pPr>
      <w:r>
        <w:rPr>
          <w:rFonts w:hint="eastAsia"/>
          <w:b/>
          <w:sz w:val="28"/>
          <w:szCs w:val="28"/>
        </w:rPr>
        <w:t>四、标准中涉及专利的情况</w:t>
      </w:r>
    </w:p>
    <w:p w14:paraId="253A2871">
      <w:pPr>
        <w:ind w:firstLine="480" w:firstLineChars="200"/>
        <w:rPr>
          <w:rFonts w:hint="eastAsia"/>
        </w:rPr>
      </w:pPr>
      <w:r>
        <w:rPr>
          <w:rFonts w:hint="eastAsia"/>
          <w:i w:val="0"/>
          <w:iCs/>
        </w:rPr>
        <w:t>本标准不涉及专利问题。</w:t>
      </w:r>
    </w:p>
    <w:p w14:paraId="6CE9D3B9">
      <w:pPr>
        <w:rPr>
          <w:rFonts w:hint="eastAsia"/>
        </w:rPr>
      </w:pPr>
    </w:p>
    <w:p w14:paraId="46A97B90">
      <w:pPr>
        <w:outlineLvl w:val="0"/>
        <w:rPr>
          <w:b/>
          <w:sz w:val="28"/>
          <w:szCs w:val="28"/>
        </w:rPr>
      </w:pPr>
      <w:r>
        <w:rPr>
          <w:rFonts w:hint="eastAsia"/>
          <w:b/>
          <w:sz w:val="28"/>
          <w:szCs w:val="28"/>
        </w:rPr>
        <w:t>五、预期达到的社会效益、对产业发展的作用等情况</w:t>
      </w:r>
    </w:p>
    <w:p w14:paraId="494432C5">
      <w:pPr>
        <w:spacing w:line="360" w:lineRule="auto"/>
        <w:ind w:firstLine="480" w:firstLineChars="200"/>
        <w:rPr>
          <w:sz w:val="24"/>
        </w:rPr>
      </w:pPr>
      <w:r>
        <w:rPr>
          <w:rFonts w:hint="eastAsia"/>
          <w:sz w:val="24"/>
        </w:rPr>
        <w:t>核聚变能</w:t>
      </w:r>
      <w:r>
        <w:rPr>
          <w:rFonts w:hint="eastAsia" w:ascii="宋体" w:hAnsi="宋体" w:cs="宋体"/>
          <w:sz w:val="24"/>
        </w:rPr>
        <w:t>被认为是一种取之不尽用之不竭的绿色能源，</w:t>
      </w:r>
      <w:r>
        <w:rPr>
          <w:rFonts w:hint="eastAsia"/>
          <w:sz w:val="24"/>
        </w:rPr>
        <w:t>是解决人类能源问题的终极方式。其一旦实现商业发电，人类将大大缓解各种因资源不均衡所产生的国际争端等社会性问题，必将带来人类文明史上的又一次工业革命。</w:t>
      </w:r>
      <w:r>
        <w:rPr>
          <w:rFonts w:hint="eastAsia"/>
          <w:sz w:val="24"/>
          <w:lang w:val="en-US" w:eastAsia="zh-CN"/>
        </w:rPr>
        <w:t>聚变堆材料是目前聚变堆商业化所面临的三大问题之一，</w:t>
      </w:r>
      <w:r>
        <w:rPr>
          <w:rFonts w:hint="eastAsia"/>
        </w:rPr>
        <w:t>目前国内外聚变堆材料发展迅速，</w:t>
      </w:r>
      <w:r>
        <w:rPr>
          <w:rFonts w:hint="eastAsia"/>
          <w:lang w:val="en-US" w:eastAsia="zh-CN"/>
        </w:rPr>
        <w:t>但入堆材料的相关测试标准尚未统一。</w:t>
      </w:r>
      <w:r>
        <w:rPr>
          <w:rFonts w:hint="eastAsia"/>
          <w:sz w:val="24"/>
          <w:lang w:val="en-US" w:eastAsia="zh-CN"/>
        </w:rPr>
        <w:t>本标准的立项实施</w:t>
      </w:r>
      <w:r>
        <w:rPr>
          <w:rFonts w:hint="eastAsia"/>
          <w:sz w:val="24"/>
        </w:rPr>
        <w:t>可</w:t>
      </w:r>
      <w:r>
        <w:rPr>
          <w:rFonts w:hint="eastAsia"/>
          <w:sz w:val="24"/>
          <w:lang w:val="en-US" w:eastAsia="zh-CN"/>
        </w:rPr>
        <w:t>有效</w:t>
      </w:r>
      <w:r>
        <w:rPr>
          <w:rFonts w:hint="eastAsia"/>
          <w:sz w:val="24"/>
        </w:rPr>
        <w:t>提高钨基材料</w:t>
      </w:r>
      <w:r>
        <w:rPr>
          <w:rFonts w:hint="eastAsia"/>
          <w:sz w:val="24"/>
          <w:lang w:val="en-US" w:eastAsia="zh-CN"/>
        </w:rPr>
        <w:t>在高热负荷测试方面的</w:t>
      </w:r>
      <w:r>
        <w:rPr>
          <w:rFonts w:hint="eastAsia"/>
          <w:sz w:val="24"/>
        </w:rPr>
        <w:t>的研发效率、缩短研发成本</w:t>
      </w:r>
      <w:r>
        <w:rPr>
          <w:rFonts w:hint="eastAsia"/>
          <w:sz w:val="24"/>
          <w:lang w:val="en-US" w:eastAsia="zh-CN"/>
        </w:rPr>
        <w:t>并</w:t>
      </w:r>
      <w:r>
        <w:rPr>
          <w:rFonts w:hint="eastAsia"/>
          <w:sz w:val="24"/>
        </w:rPr>
        <w:t>降低研发周期。</w:t>
      </w:r>
    </w:p>
    <w:p w14:paraId="34F21A00">
      <w:pPr>
        <w:ind w:firstLine="480" w:firstLineChars="200"/>
        <w:rPr>
          <w:rFonts w:hint="eastAsia"/>
          <w:lang w:val="en-US" w:eastAsia="zh-CN"/>
        </w:rPr>
      </w:pPr>
      <w:r>
        <w:rPr>
          <w:rFonts w:hint="eastAsia"/>
          <w:lang w:val="en-US" w:eastAsia="zh-CN"/>
        </w:rPr>
        <w:t>建立面向等离子体材料的电子束高热负荷测试标准，是聚变堆研发的关键一环。统一规范测试流程、设备参数、数据采集与分析方法，可从根本上提升测试结果的准确性与可重复性，为不同研究团队之间的数据对比与共享奠定共同基准，显著加速材料研发进程。借助标准化流程，重复实验和无效研究得以削减，研发效率随之提高；同时，可靠的性能数据又能为工程设计提供坚实依据，减少因评估偏差导致的设计返工和重复建设，直接降低聚变堆的整体研发成本。因此，该标准的实施不仅保障聚变堆的安全运行，还将促进全球范围的技术合作，为可控核聚变早日实现奠定重要基础。</w:t>
      </w:r>
    </w:p>
    <w:p w14:paraId="5FC075E0">
      <w:pPr>
        <w:ind w:firstLine="480" w:firstLineChars="200"/>
        <w:rPr>
          <w:rFonts w:hint="eastAsia"/>
          <w:lang w:val="en-US" w:eastAsia="zh-CN"/>
        </w:rPr>
      </w:pPr>
    </w:p>
    <w:p w14:paraId="15B2CE35">
      <w:pPr>
        <w:outlineLvl w:val="0"/>
        <w:rPr>
          <w:b/>
          <w:sz w:val="28"/>
          <w:szCs w:val="28"/>
        </w:rPr>
      </w:pPr>
      <w:r>
        <w:rPr>
          <w:rFonts w:hint="eastAsia"/>
          <w:b/>
          <w:sz w:val="28"/>
          <w:szCs w:val="28"/>
        </w:rPr>
        <w:t>六、与国际、国外对比情况</w:t>
      </w:r>
    </w:p>
    <w:p w14:paraId="60F58BC7">
      <w:pPr>
        <w:rPr>
          <w:rFonts w:hint="eastAsia"/>
          <w:lang w:val="en-US" w:eastAsia="zh-CN"/>
        </w:rPr>
      </w:pPr>
      <w:r>
        <w:rPr>
          <w:rFonts w:hint="eastAsia"/>
        </w:rPr>
        <w:t>说明1）项目与国际标准或国外先进标准采用程度的考虑；2）与国内相关标准间的关系；3）发展趋势。</w:t>
      </w:r>
      <w:r>
        <w:rPr>
          <w:rFonts w:hint="eastAsia"/>
          <w:lang w:val="en-US" w:eastAsia="zh-CN"/>
        </w:rPr>
        <w:t xml:space="preserve">   </w:t>
      </w:r>
    </w:p>
    <w:p w14:paraId="4EE4C1B6">
      <w:pPr>
        <w:ind w:firstLine="480" w:firstLineChars="200"/>
        <w:rPr>
          <w:rFonts w:hint="eastAsia"/>
          <w:lang w:val="en-US" w:eastAsia="zh-CN"/>
        </w:rPr>
      </w:pPr>
      <w:r>
        <w:rPr>
          <w:rFonts w:hint="eastAsia"/>
          <w:lang w:val="en-US" w:eastAsia="zh-CN"/>
        </w:rPr>
        <w:t>核聚变的商业化应用研究在国际上属于新兴领域，针对聚变堆材料入堆需求的面对等离子体材料高热负荷测试也是近些年才逐步发展起来的，该测试项目在国际上尚无相关标准。</w:t>
      </w:r>
    </w:p>
    <w:p w14:paraId="29A6D8EF">
      <w:pPr>
        <w:ind w:firstLine="480" w:firstLineChars="200"/>
        <w:rPr>
          <w:rFonts w:hint="eastAsia"/>
          <w:lang w:val="en-US" w:eastAsia="zh-CN"/>
        </w:rPr>
      </w:pPr>
      <w:r>
        <w:rPr>
          <w:rFonts w:hint="eastAsia"/>
          <w:lang w:val="en-US" w:eastAsia="zh-CN"/>
        </w:rPr>
        <w:t>在国内，核工业西南物理研究院于2022年建立了聚变堆面向等离子体部件的高热负荷测试专项标准</w:t>
      </w:r>
      <w:r>
        <w:rPr>
          <w:rFonts w:hint="eastAsia"/>
          <w:lang w:eastAsia="zh-CN"/>
        </w:rPr>
        <w:t>《</w:t>
      </w:r>
      <w:r>
        <w:rPr>
          <w:rFonts w:hint="eastAsia"/>
        </w:rPr>
        <w:t>HJB 1103—2022 聚变堆面向等离子部件电子束高热通量测试规程</w:t>
      </w:r>
      <w:r>
        <w:rPr>
          <w:rFonts w:hint="eastAsia"/>
          <w:lang w:eastAsia="zh-CN"/>
        </w:rPr>
        <w:t>》，</w:t>
      </w:r>
      <w:r>
        <w:rPr>
          <w:rFonts w:hint="eastAsia"/>
          <w:lang w:val="en-US" w:eastAsia="zh-CN"/>
        </w:rPr>
        <w:t>该标准主要针对聚变堆面向等离子体部件的高热负荷测试。面向等离子体材料的高热负荷测试是部件制备的前置测试工序，两者的测试目标是不一致的。</w:t>
      </w:r>
    </w:p>
    <w:p w14:paraId="6F8BA61A">
      <w:pPr>
        <w:ind w:firstLine="480" w:firstLineChars="200"/>
        <w:rPr>
          <w:rFonts w:hint="default"/>
          <w:lang w:val="en-US" w:eastAsia="zh-CN"/>
        </w:rPr>
      </w:pPr>
      <w:r>
        <w:rPr>
          <w:rFonts w:hint="eastAsia"/>
          <w:lang w:val="en-US" w:eastAsia="zh-CN"/>
        </w:rPr>
        <w:t>面向等离子体材料的高热负荷测试：主要对材料本身的抗高热负荷能力进行测试，查看材料在高热负荷工况下的性能演变，该测试与材料本身的性能（如密度、热导率、力学性能、再结晶温度等）密切相关。</w:t>
      </w:r>
    </w:p>
    <w:p w14:paraId="6B0271D6">
      <w:pPr>
        <w:ind w:firstLine="480" w:firstLineChars="200"/>
        <w:jc w:val="both"/>
        <w:rPr>
          <w:rFonts w:hint="eastAsia"/>
          <w:lang w:val="en-US" w:eastAsia="zh-CN"/>
        </w:rPr>
      </w:pPr>
      <w:r>
        <w:rPr>
          <w:rFonts w:hint="eastAsia"/>
          <w:lang w:val="en-US" w:eastAsia="zh-CN"/>
        </w:rPr>
        <w:t>面向等离子体部件的高热负荷测试：主要对部件的抗高热负荷能力进行评估，考察部件的焊接性能（部件由面向等离子体材料与热沉材料焊接而成），查看焊接界面在高热负荷工况下是否会产生开裂、脱落等缺陷。一般而言，用于制备部件的面向等离子体材料首先需要通过高热负荷测试，保证材料本身的抗高热负荷能力没有问题。</w:t>
      </w:r>
    </w:p>
    <w:p w14:paraId="1C7E1419">
      <w:pPr>
        <w:ind w:firstLine="480" w:firstLineChars="200"/>
        <w:jc w:val="both"/>
        <w:rPr>
          <w:rFonts w:hint="default"/>
          <w:lang w:val="en-US" w:eastAsia="zh-CN"/>
        </w:rPr>
      </w:pPr>
      <w:r>
        <w:rPr>
          <w:rFonts w:hint="eastAsia"/>
          <w:lang w:val="en-US" w:eastAsia="zh-CN"/>
        </w:rPr>
        <w:t>本标准与已立项的聚变堆面向等离子体部件的高热负荷测试标准的测试目标完全不同，属于同一领域不同方向的测试标准。随着聚变研究的发展，未来聚变堆面向等离子体材料的高热负荷测试会向精细化发展，针对不同模式的高热负荷负荷提出更合理，更贴近真实工况的测试规范。</w:t>
      </w:r>
    </w:p>
    <w:p w14:paraId="09FC3C8F"/>
    <w:p w14:paraId="7A633A15">
      <w:pPr>
        <w:outlineLvl w:val="0"/>
        <w:rPr>
          <w:b/>
          <w:sz w:val="28"/>
          <w:szCs w:val="28"/>
        </w:rPr>
      </w:pPr>
      <w:r>
        <w:rPr>
          <w:rFonts w:hint="eastAsia"/>
          <w:b/>
          <w:sz w:val="28"/>
          <w:szCs w:val="28"/>
        </w:rPr>
        <w:t>七、在标准体系中的位置，与现行相关法律、法规、规章及标准，特别是强制性标准的协调性</w:t>
      </w:r>
    </w:p>
    <w:p w14:paraId="3C2D09FC">
      <w:pPr>
        <w:ind w:firstLine="480" w:firstLineChars="200"/>
        <w:jc w:val="both"/>
        <w:rPr>
          <w:rFonts w:hint="eastAsia"/>
          <w:i w:val="0"/>
          <w:iCs/>
        </w:rPr>
      </w:pPr>
      <w:r>
        <w:rPr>
          <w:rFonts w:hint="eastAsia"/>
          <w:i w:val="0"/>
          <w:iCs/>
        </w:rPr>
        <w:t>聚变堆面向等离子体材料的高热负荷测试需求是在国际热核聚变实验堆发起后才出现的一项测试，其主要针对面向等离子体材料的热效应问题。目前国内外在聚变材料的电子束高热负荷测试方面尚无相关标准。在电热装置的测试方法等领域，如GB 5959.7 电热装置的安全 第7部分：对具有电子枪的装置的特殊要求、GB/T 10066.7 电热装置的试验方法 第7部分：具有电子枪的电热装置、ISO 14744 电子束焊机的验收检验已有相关标准，在测试样品的检测等领域，也有无损检测、红外成相等相关标准。本标准会严格符合国家相关的电热装置和测试样品检测等相关标准。</w:t>
      </w:r>
    </w:p>
    <w:p w14:paraId="50DB0A34">
      <w:pPr>
        <w:rPr>
          <w:rFonts w:hint="eastAsia"/>
          <w:i/>
        </w:rPr>
      </w:pPr>
    </w:p>
    <w:p w14:paraId="14BF4C02">
      <w:pPr>
        <w:outlineLvl w:val="0"/>
        <w:rPr>
          <w:b/>
          <w:sz w:val="28"/>
          <w:szCs w:val="28"/>
        </w:rPr>
      </w:pPr>
      <w:r>
        <w:rPr>
          <w:rFonts w:hint="eastAsia"/>
          <w:b/>
          <w:sz w:val="28"/>
          <w:szCs w:val="28"/>
        </w:rPr>
        <w:t>八、重大分歧意见的处理经过和依据</w:t>
      </w:r>
    </w:p>
    <w:p w14:paraId="7BAFBD65">
      <w:pPr>
        <w:ind w:firstLine="480" w:firstLineChars="200"/>
        <w:rPr>
          <w:i w:val="0"/>
          <w:iCs/>
        </w:rPr>
      </w:pPr>
      <w:r>
        <w:rPr>
          <w:rFonts w:hint="eastAsia"/>
          <w:i w:val="0"/>
          <w:iCs/>
        </w:rPr>
        <w:t>无。</w:t>
      </w:r>
    </w:p>
    <w:p w14:paraId="3629B36E">
      <w:pPr>
        <w:rPr>
          <w:rFonts w:hint="eastAsia"/>
        </w:rPr>
      </w:pPr>
    </w:p>
    <w:p w14:paraId="363B527E">
      <w:pPr>
        <w:outlineLvl w:val="0"/>
        <w:rPr>
          <w:b/>
          <w:sz w:val="28"/>
          <w:szCs w:val="28"/>
        </w:rPr>
      </w:pPr>
      <w:r>
        <w:rPr>
          <w:rFonts w:hint="eastAsia"/>
          <w:b/>
          <w:sz w:val="28"/>
          <w:szCs w:val="28"/>
        </w:rPr>
        <w:t>九、标准性质的建议说明</w:t>
      </w:r>
    </w:p>
    <w:p w14:paraId="20644660">
      <w:pPr>
        <w:ind w:firstLine="480" w:firstLineChars="200"/>
      </w:pPr>
      <w:r>
        <w:rPr>
          <w:rFonts w:hint="eastAsia"/>
        </w:rPr>
        <w:t>建议本标准的性质为团体标准。</w:t>
      </w:r>
    </w:p>
    <w:p w14:paraId="5155893C">
      <w:pPr>
        <w:rPr>
          <w:rFonts w:hint="eastAsia"/>
          <w:i/>
        </w:rPr>
      </w:pPr>
    </w:p>
    <w:p w14:paraId="2936C706">
      <w:pPr>
        <w:outlineLvl w:val="0"/>
        <w:rPr>
          <w:b/>
          <w:sz w:val="28"/>
          <w:szCs w:val="28"/>
        </w:rPr>
      </w:pPr>
      <w:r>
        <w:rPr>
          <w:rFonts w:hint="eastAsia"/>
          <w:b/>
          <w:sz w:val="28"/>
          <w:szCs w:val="28"/>
        </w:rPr>
        <w:t>十、贯彻标准的要求和措施建议</w:t>
      </w:r>
    </w:p>
    <w:p w14:paraId="5008B339">
      <w:pPr>
        <w:ind w:firstLine="480" w:firstLineChars="200"/>
        <w:rPr>
          <w:i/>
        </w:rPr>
      </w:pPr>
      <w:r>
        <w:rPr>
          <w:rFonts w:hint="eastAsia"/>
          <w:i w:val="0"/>
          <w:iCs/>
        </w:rPr>
        <w:t>标准发布后，</w:t>
      </w:r>
      <w:r>
        <w:rPr>
          <w:rFonts w:hint="eastAsia"/>
          <w:i w:val="0"/>
          <w:iCs/>
          <w:lang w:val="en-US" w:eastAsia="zh-CN"/>
        </w:rPr>
        <w:t>三家编写</w:t>
      </w:r>
      <w:r>
        <w:rPr>
          <w:rFonts w:hint="eastAsia"/>
          <w:i w:val="0"/>
          <w:iCs/>
        </w:rPr>
        <w:t>单位将</w:t>
      </w:r>
      <w:r>
        <w:rPr>
          <w:rFonts w:hint="eastAsia"/>
          <w:i w:val="0"/>
          <w:iCs/>
          <w:lang w:val="en-US" w:eastAsia="zh-CN"/>
        </w:rPr>
        <w:t>积极</w:t>
      </w:r>
      <w:r>
        <w:rPr>
          <w:rFonts w:hint="eastAsia"/>
          <w:i w:val="0"/>
          <w:iCs/>
        </w:rPr>
        <w:t>配合中国核能行业协会组织行业召开标准宣贯会，开展培训活动，</w:t>
      </w:r>
      <w:r>
        <w:rPr>
          <w:rFonts w:hint="eastAsia"/>
          <w:i w:val="0"/>
          <w:iCs/>
          <w:lang w:val="en-US" w:eastAsia="zh-CN"/>
        </w:rPr>
        <w:t>以</w:t>
      </w:r>
      <w:r>
        <w:rPr>
          <w:rFonts w:hint="eastAsia"/>
          <w:i w:val="0"/>
          <w:iCs/>
        </w:rPr>
        <w:t>促进该标准更好的贯彻实施。</w:t>
      </w:r>
    </w:p>
    <w:p w14:paraId="291CFB43">
      <w:pPr>
        <w:rPr>
          <w:rFonts w:hint="eastAsia"/>
          <w:i/>
        </w:rPr>
      </w:pPr>
    </w:p>
    <w:p w14:paraId="70167BE1">
      <w:pPr>
        <w:outlineLvl w:val="0"/>
        <w:rPr>
          <w:b/>
          <w:sz w:val="28"/>
          <w:szCs w:val="28"/>
        </w:rPr>
      </w:pPr>
      <w:r>
        <w:rPr>
          <w:rFonts w:hint="eastAsia"/>
          <w:b/>
          <w:sz w:val="28"/>
          <w:szCs w:val="28"/>
        </w:rPr>
        <w:t>十一、废止现行相关标准的建议</w:t>
      </w:r>
    </w:p>
    <w:p w14:paraId="28956847">
      <w:pPr>
        <w:ind w:firstLine="480"/>
        <w:rPr>
          <w:rFonts w:hint="eastAsia"/>
          <w:i w:val="0"/>
          <w:iCs/>
          <w:lang w:val="en-US" w:eastAsia="zh-CN"/>
        </w:rPr>
      </w:pPr>
      <w:r>
        <w:rPr>
          <w:rFonts w:hint="eastAsia"/>
          <w:i w:val="0"/>
          <w:iCs/>
          <w:lang w:val="en-US" w:eastAsia="zh-CN"/>
        </w:rPr>
        <w:t>无。</w:t>
      </w:r>
    </w:p>
    <w:p w14:paraId="68421DF4">
      <w:pPr>
        <w:ind w:firstLine="480"/>
        <w:rPr>
          <w:rFonts w:hint="default"/>
          <w:i w:val="0"/>
          <w:iCs/>
          <w:lang w:val="en-US" w:eastAsia="zh-CN"/>
        </w:rPr>
      </w:pPr>
    </w:p>
    <w:p w14:paraId="2E27B981">
      <w:pPr>
        <w:numPr>
          <w:ilvl w:val="0"/>
          <w:numId w:val="1"/>
        </w:numPr>
        <w:outlineLvl w:val="0"/>
        <w:rPr>
          <w:rFonts w:hint="eastAsia"/>
          <w:b/>
          <w:sz w:val="28"/>
          <w:szCs w:val="28"/>
        </w:rPr>
      </w:pPr>
      <w:r>
        <w:rPr>
          <w:rFonts w:hint="eastAsia"/>
          <w:b/>
          <w:sz w:val="28"/>
          <w:szCs w:val="28"/>
        </w:rPr>
        <w:t>其他应予说明的事项</w:t>
      </w:r>
    </w:p>
    <w:p w14:paraId="6E3E58F5">
      <w:pPr>
        <w:numPr>
          <w:numId w:val="0"/>
        </w:numPr>
        <w:ind w:firstLine="480" w:firstLineChars="200"/>
        <w:outlineLvl w:val="0"/>
        <w:rPr>
          <w:rFonts w:hint="eastAsia" w:eastAsia="宋体"/>
          <w:b w:val="0"/>
          <w:bCs/>
          <w:sz w:val="24"/>
          <w:szCs w:val="24"/>
          <w:lang w:val="en-US" w:eastAsia="zh-CN"/>
        </w:rPr>
      </w:pPr>
      <w:r>
        <w:rPr>
          <w:rFonts w:hint="eastAsia"/>
          <w:b w:val="0"/>
          <w:bCs/>
          <w:sz w:val="24"/>
          <w:szCs w:val="24"/>
          <w:lang w:val="en-US" w:eastAsia="zh-CN"/>
        </w:rPr>
        <w:t>无。</w:t>
      </w:r>
    </w:p>
    <w:p w14:paraId="48B50C69">
      <w:pPr>
        <w:rPr>
          <w:rFonts w:hint="eastAsia"/>
          <w:i/>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07777B"/>
    <w:multiLevelType w:val="singleLevel"/>
    <w:tmpl w:val="7D07777B"/>
    <w:lvl w:ilvl="0" w:tentative="0">
      <w:start w:val="1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C204E"/>
    <w:rsid w:val="00132C00"/>
    <w:rsid w:val="00161CD2"/>
    <w:rsid w:val="0024244C"/>
    <w:rsid w:val="00285F39"/>
    <w:rsid w:val="002E1F35"/>
    <w:rsid w:val="004656F6"/>
    <w:rsid w:val="00520FE0"/>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DC29B1"/>
    <w:rsid w:val="00E0783F"/>
    <w:rsid w:val="00F60B7D"/>
    <w:rsid w:val="00FB6407"/>
    <w:rsid w:val="144F4E92"/>
    <w:rsid w:val="2F7F7667"/>
    <w:rsid w:val="4D426DB5"/>
    <w:rsid w:val="50391CC0"/>
    <w:rsid w:val="5E070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heme="minorBidi"/>
      <w:kern w:val="2"/>
      <w:sz w:val="24"/>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 w:type="paragraph" w:customStyle="1" w:styleId="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1148</Words>
  <Characters>1190</Characters>
  <Lines>8</Lines>
  <Paragraphs>2</Paragraphs>
  <TotalTime>0</TotalTime>
  <ScaleCrop>false</ScaleCrop>
  <LinksUpToDate>false</LinksUpToDate>
  <CharactersWithSpaces>1191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2019-12-04T02:22:00Z</dcterms:created>
  <dc:creator>王炫</dc:creator>
  <cp:lastModifiedBy>FF</cp:lastModifiedBy>
  <dcterms:modified xsi:type="dcterms:W3CDTF">2025-08-01T12:33:01Z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eyJoZGlkIjoiMmI0Mjg5MDc0YTNiZjY4NGE5MTFjODFiOTE5MDI2NGUiLCJ1c2VySWQiOiI3ODkxMzE0NzUifQ==</vt:lpwstr>
  </property>
  <property fmtid="{D5CDD505-2E9C-101B-9397-08002B2CF9AE}" pid="3" name="KSOProductBuildVer">
    <vt:lpwstr>2052-12.1.0.21915</vt:lpwstr>
  </property>
  <property fmtid="{D5CDD505-2E9C-101B-9397-08002B2CF9AE}" pid="4" name="ICV">
    <vt:lpwstr>6503F25F06AA4657BFA63379CFBB4425_12</vt:lpwstr>
  </property>
</Properties>
</file>